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color w:val="auto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6"/>
          <w:szCs w:val="44"/>
          <w:lang w:val="en-US" w:eastAsia="zh-CN"/>
        </w:rPr>
        <w:t>NE-700Z超声波处理器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  <w:drawing>
          <wp:inline distT="0" distB="0" distL="114300" distR="114300">
            <wp:extent cx="5232400" cy="2543175"/>
            <wp:effectExtent l="0" t="0" r="6350" b="9525"/>
            <wp:docPr id="1" name="图片 1" descr="一体机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一体机图片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  <w:t>产品应用：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超声波处理器，又别名：超声波细胞粉碎机、萃取仪、分散仪、均质机、乳化机；是实验室样品前处理的常用设备之一；广泛应用于：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污水处理（降解COD）               环境科学（土壤有机物的萃取）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制药（中草药和植物萃取）            生命科学（细胞破壁萃取和粉碎）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复合材料制备（纳米材料分散）        均质混匀（加速溶解、化学反应合成、油水乳化）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  <w:t>产品特点：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一体式设计，外观简洁大方，且占地空间小。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85～260V宽电压输入工作，满足各国实验室标准。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10组用户选择以及储存，可实时调出程序组运行。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运行模式设定有三种：连续使用、脉冲、定时连续超声，满足多种材料处理。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操作界面采用7寸彩色工业触摸屏。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自带超声输出运行显示灯光，可实时观察超声对样品的处理效果。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运行界面集成显示，可直接查看超声每种参数。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三维指数型变幅杆设计，超声变幅杆使用寿命，效率更高。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可选自动升降、紫外灭菌灯。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系列产品具有CE/ISO等产品认证及知识产权保护。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  <w:t>技术参数：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color w:val="auto"/>
          <w:sz w:val="22"/>
          <w:szCs w:val="22"/>
          <w:shd w:val="clear" w:color="auto" w:fill="FFFFFF"/>
          <w:lang w:val="en-US" w:eastAsia="zh-CN"/>
        </w:rPr>
        <w:t>超声波主机参数</w:t>
      </w:r>
    </w:p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95"/>
        <w:gridCol w:w="4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型号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NE-</w:t>
            </w: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00Z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电源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85-260V/50-60Hz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净功率输出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700W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标称频率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19-26KHz（实时显示频率）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定时器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1Min～99H可设定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功率调节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1％—100％,1％递进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温度设定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0—300℃，1℃递进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用户使用程序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10组（可设定，可储存，工作状态可实时查看）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脉冲间隔时间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1S～60Min可设定，可储存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运行模式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 xml:space="preserve">Pulse、Time、Continuous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液晶显示屏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彩色触摸屏，分辨率：800×480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操作语言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主界面显示参数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超声输出功率、频率、工作模式、用户组、设定键、设备运行状态、启动/关闭、设备运行参数详情键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可查看运行界面显示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总运行时间、工作时间、停止时间、用户组、过载温度、功率输出比、工作模式、程序保存键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显示灯光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自带超声输出运行显示灯光，可随时观察超声输出状态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外形尺寸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340mm×270mm×479mm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  <w:t>超声波探头参数</w:t>
      </w:r>
    </w:p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71"/>
        <w:gridCol w:w="12"/>
        <w:gridCol w:w="4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标准配置变幅杆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钛合金材料：T1—6AL—4V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头部直径（随机变幅杆）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Φ8mm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处理量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0.1—800ml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电缆线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150cm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可选配件超声波变幅杆</w:t>
            </w:r>
          </w:p>
        </w:tc>
        <w:tc>
          <w:tcPr>
            <w:tcW w:w="4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Φ1.5，Φ2，Φ3，Φ6，Φ10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  <w:t>标准配置装箱：</w:t>
      </w:r>
    </w:p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83"/>
        <w:gridCol w:w="4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超声波主机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超声波探头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升降台，防滑垫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温度传感器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电源线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电缆线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保险丝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3支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重量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11千克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界面显示如下</w:t>
      </w:r>
    </w:p>
    <w:p>
      <w:pPr>
        <w:widowControl w:val="0"/>
        <w:numPr>
          <w:ilvl w:val="0"/>
          <w:numId w:val="0"/>
        </w:numPr>
        <w:jc w:val="center"/>
        <w:rPr>
          <w:rFonts w:hint="default" w:ascii="微软雅黑" w:hAnsi="微软雅黑" w:eastAsia="微软雅黑" w:cs="微软雅黑"/>
          <w:color w:val="auto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lang w:val="en-US" w:eastAsia="zh-CN"/>
        </w:rPr>
        <w:drawing>
          <wp:inline distT="0" distB="0" distL="114300" distR="114300">
            <wp:extent cx="3009900" cy="1805940"/>
            <wp:effectExtent l="0" t="0" r="0" b="3810"/>
            <wp:docPr id="2" name="图片 9" descr="面板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 descr="面板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center"/>
        <w:rPr>
          <w:rFonts w:hint="default" w:ascii="微软雅黑" w:hAnsi="微软雅黑" w:eastAsia="微软雅黑" w:cs="微软雅黑"/>
          <w:color w:val="auto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lang w:val="en-US" w:eastAsia="zh-CN"/>
        </w:rPr>
        <w:drawing>
          <wp:inline distT="0" distB="0" distL="114300" distR="114300">
            <wp:extent cx="3065780" cy="1839595"/>
            <wp:effectExtent l="0" t="0" r="1270" b="8255"/>
            <wp:docPr id="3" name="图片 3" descr="面板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面板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578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center"/>
        <w:rPr>
          <w:rFonts w:hint="default" w:ascii="微软雅黑" w:hAnsi="微软雅黑" w:eastAsia="微软雅黑" w:cs="微软雅黑"/>
          <w:color w:val="auto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lang w:val="en-US" w:eastAsia="zh-CN"/>
        </w:rPr>
        <w:drawing>
          <wp:inline distT="0" distB="0" distL="114300" distR="114300">
            <wp:extent cx="3051810" cy="1831340"/>
            <wp:effectExtent l="0" t="0" r="15240" b="16510"/>
            <wp:docPr id="4" name="图片 5" descr="面板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面板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1810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微软雅黑" w:hAnsi="微软雅黑" w:eastAsia="微软雅黑" w:cs="微软雅黑"/>
          <w:color w:val="auto"/>
          <w:lang w:val="en-US" w:eastAsia="zh-CN"/>
        </w:rPr>
        <w:drawing>
          <wp:inline distT="0" distB="0" distL="114300" distR="114300">
            <wp:extent cx="3042920" cy="1708150"/>
            <wp:effectExtent l="0" t="0" r="5080" b="6350"/>
            <wp:docPr id="5" name="图片 1" descr="5b161d7627d7359dda4c8c973a83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5b161d7627d7359dda4c8c973a83882"/>
                    <pic:cNvPicPr>
                      <a:picLocks noChangeAspect="1"/>
                    </pic:cNvPicPr>
                  </pic:nvPicPr>
                  <pic:blipFill>
                    <a:blip r:embed="rId9"/>
                    <a:srcRect l="6396" t="11070" r="6335" b="12500"/>
                    <a:stretch>
                      <a:fillRect/>
                    </a:stretch>
                  </pic:blipFill>
                  <pic:spPr>
                    <a:xfrm>
                      <a:off x="0" y="0"/>
                      <a:ext cx="304292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color w:val="auto"/>
          <w:lang w:val="en-US" w:eastAsia="zh-CN"/>
        </w:rPr>
      </w:pPr>
    </w:p>
    <w:p/>
    <w:sectPr>
      <w:headerReference r:id="rId3" w:type="default"/>
      <w:pgSz w:w="11906" w:h="16838"/>
      <w:pgMar w:top="1440" w:right="1800" w:bottom="1440" w:left="1800" w:header="119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C13A3"/>
    <w:rsid w:val="03247EE2"/>
    <w:rsid w:val="08FF4C11"/>
    <w:rsid w:val="12D811BC"/>
    <w:rsid w:val="172971E5"/>
    <w:rsid w:val="29346B9D"/>
    <w:rsid w:val="309C3AFD"/>
    <w:rsid w:val="313002E2"/>
    <w:rsid w:val="4148340A"/>
    <w:rsid w:val="4C76379A"/>
    <w:rsid w:val="5CE97D59"/>
    <w:rsid w:val="5E7C13A3"/>
    <w:rsid w:val="6A1C1C9C"/>
    <w:rsid w:val="6DB47FA2"/>
    <w:rsid w:val="797562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2020-08-07T05:40:00Z</dcterms:created>
  <dc:creator>方需科技</dc:creator>
  <cp:lastModifiedBy>方需科技</cp:lastModifiedBy>
  <dcterms:modified xsi:type="dcterms:W3CDTF">2020-11-04T07:48:30Z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