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  <w:t>NE-500Z超声波处理器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drawing>
          <wp:inline distT="0" distB="0" distL="114300" distR="114300">
            <wp:extent cx="5257800" cy="3042920"/>
            <wp:effectExtent l="0" t="0" r="0" b="4445"/>
            <wp:docPr id="1" name="图片 1" descr="一体机图片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体机图片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产品应用：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超声波处理器，又别名：超声波细胞粉碎机、萃取仪、分散仪、均质机、乳化机；是实验室样品前处理的常用设备之一；广泛应用于：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污水处理（降解COD）               环境科学（土壤有机物的萃取）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制药（中草药和植物萃取）            生命科学（细胞破壁萃取和粉碎）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复合材料制备（纳米材料分散）        均质混匀（加速溶解、化学反应合成、油水乳化）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一体式设计，外观简洁大方，且占地空间小。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85～260V宽电压输入工作，满足各国实验室标准。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10组用户选择以及储存，可实时调出程序组运行。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运行模式设定有三种：连续使用、脉冲、定时连续超声，满足多种材料处理。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操作界面采用7寸彩色工业触摸屏。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自带超声输出运行显示灯光，可实时观察超声对样品的处理效果。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运行界面集成显示，可直接查看超声每种参数。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三维指数型变幅杆设计，超声变幅杆使用寿命，效率更高。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可选自动升降、紫外灭菌灯。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系列产品具有CE/ISO等产品认证及知识产权保护。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技术参数：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  <w:t>超声波主机参数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95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型号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NE-500Z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电源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85-260V/50-60Hz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净功率输出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500W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标称频率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19-26KHz（实时显示频率）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定时器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1Min～99H可设定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功率调节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1％—100％,1％递进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温度设定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0—300℃，1℃递进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用户使用程序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10组（可设定，可储存，工作状态可实时查看）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脉冲间隔时间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1S～60Min可设定，可储存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运行模式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 xml:space="preserve">Pulse、Time、Continuous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液晶显示屏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彩色触摸屏，分辨率：800×480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操作语言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主界面显示参数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超声输出功率、频率、工作模式、用户组、设定键、设备运行状态、启动/关闭、设备运行参数详情键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可查看运行界面显示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总运行时间、工作时间、停止时间、用户组、过载温度、功率输出比、工作模式、程序保存键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显示灯光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自带超声输出运行显示灯光，可随时观察超声输出状态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外形尺寸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340mm×270mm×479mm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超声波探头参数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1"/>
        <w:gridCol w:w="12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标准配置变幅杆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钛合金材料：T1—6AL—4V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头部直径（随机变幅杆）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Φ6mm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处理量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0.1—600ml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可选配件超声波变幅杆</w:t>
            </w:r>
          </w:p>
        </w:tc>
        <w:tc>
          <w:tcPr>
            <w:tcW w:w="4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Φ1.5，Φ2，Φ3，Φ8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标准配置装箱：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3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超声波主机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超声波探头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升降台，防滑垫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温度传感器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电源线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保险丝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3支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重量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11千克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界面显示如下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09900" cy="1805940"/>
            <wp:effectExtent l="0" t="0" r="0" b="3810"/>
            <wp:docPr id="2" name="图片 9" descr="面板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面板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65780" cy="1839595"/>
            <wp:effectExtent l="0" t="0" r="1270" b="8255"/>
            <wp:docPr id="3" name="图片 3" descr="面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面板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51810" cy="1831340"/>
            <wp:effectExtent l="0" t="0" r="15240" b="16510"/>
            <wp:docPr id="4" name="图片 5" descr="面板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面板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42920" cy="1708150"/>
            <wp:effectExtent l="0" t="0" r="5080" b="6350"/>
            <wp:docPr id="5" name="图片 1" descr="5b161d7627d7359dda4c8c973a83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5b161d7627d7359dda4c8c973a83882"/>
                    <pic:cNvPicPr>
                      <a:picLocks noChangeAspect="1"/>
                    </pic:cNvPicPr>
                  </pic:nvPicPr>
                  <pic:blipFill>
                    <a:blip r:embed="rId9"/>
                    <a:srcRect l="6396" t="11070" r="6335"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119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B7EE4"/>
    <w:rsid w:val="01824030"/>
    <w:rsid w:val="049647F6"/>
    <w:rsid w:val="059B7EE4"/>
    <w:rsid w:val="0C2576E0"/>
    <w:rsid w:val="0EF5636B"/>
    <w:rsid w:val="1C542C71"/>
    <w:rsid w:val="1FBF7409"/>
    <w:rsid w:val="2B167F54"/>
    <w:rsid w:val="362F1BB3"/>
    <w:rsid w:val="4EBA2132"/>
    <w:rsid w:val="4EC765CD"/>
    <w:rsid w:val="6B0D2E06"/>
    <w:rsid w:val="79B62D3F"/>
    <w:rsid w:val="7FBB62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2020-08-07T05:39:00Z</dcterms:created>
  <dc:creator>方需科技</dc:creator>
  <cp:lastModifiedBy>方需科技</cp:lastModifiedBy>
  <dcterms:modified xsi:type="dcterms:W3CDTF">2020-11-04T07:48:12Z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